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4B10D5" w:rsidRPr="000D2842" w:rsidRDefault="00000000" w:rsidP="000D2842">
      <w:pPr>
        <w:tabs>
          <w:tab w:val="left" w:pos="284"/>
        </w:tabs>
        <w:spacing w:after="280" w:line="240" w:lineRule="auto"/>
        <w:rPr>
          <w:rFonts w:asciiTheme="majorHAnsi" w:eastAsia="Times New Roman" w:hAnsiTheme="majorHAnsi" w:cs="Times New Roman"/>
          <w:b/>
          <w:sz w:val="36"/>
          <w:szCs w:val="36"/>
        </w:rPr>
      </w:pPr>
      <w:r w:rsidRPr="000D2842">
        <w:rPr>
          <w:rFonts w:asciiTheme="majorHAnsi" w:eastAsia="Times New Roman" w:hAnsiTheme="majorHAnsi" w:cs="Times New Roman"/>
          <w:b/>
          <w:sz w:val="36"/>
          <w:szCs w:val="36"/>
        </w:rPr>
        <w:t xml:space="preserve">Report on the Event: </w:t>
      </w:r>
      <w:r w:rsidRPr="000D2842">
        <w:rPr>
          <w:rFonts w:asciiTheme="majorHAnsi" w:eastAsia="Times New Roman" w:hAnsiTheme="majorHAnsi" w:cs="Times New Roman"/>
          <w:b/>
          <w:sz w:val="34"/>
          <w:szCs w:val="34"/>
        </w:rPr>
        <w:t xml:space="preserve">Ukraine's European Path: </w:t>
      </w:r>
      <w:r w:rsidRPr="000D2842">
        <w:rPr>
          <w:rFonts w:asciiTheme="majorHAnsi" w:eastAsia="Times New Roman" w:hAnsiTheme="majorHAnsi" w:cs="Times New Roman"/>
          <w:b/>
          <w:sz w:val="36"/>
          <w:szCs w:val="36"/>
        </w:rPr>
        <w:t>Historical Legacy, Regional Development, and Future Integration</w:t>
      </w:r>
    </w:p>
    <w:p w14:paraId="00000002" w14:textId="77777777" w:rsidR="004B10D5" w:rsidRPr="000D2842" w:rsidRDefault="00000000" w:rsidP="000D2842">
      <w:pPr>
        <w:tabs>
          <w:tab w:val="left" w:pos="284"/>
        </w:tabs>
        <w:spacing w:before="280" w:after="280" w:line="240" w:lineRule="auto"/>
        <w:rPr>
          <w:rFonts w:asciiTheme="majorHAnsi" w:eastAsia="Times New Roman" w:hAnsiTheme="majorHAnsi" w:cs="Times New Roman"/>
          <w:sz w:val="24"/>
          <w:szCs w:val="24"/>
        </w:rPr>
      </w:pPr>
      <w:r w:rsidRPr="000D2842">
        <w:rPr>
          <w:rFonts w:asciiTheme="majorHAnsi" w:eastAsia="Times New Roman" w:hAnsiTheme="majorHAnsi" w:cs="Times New Roman"/>
          <w:b/>
          <w:sz w:val="24"/>
          <w:szCs w:val="24"/>
        </w:rPr>
        <w:t>Organizer:</w:t>
      </w:r>
      <w:r w:rsidRPr="000D2842">
        <w:rPr>
          <w:rFonts w:asciiTheme="majorHAnsi" w:eastAsia="Times New Roman" w:hAnsiTheme="majorHAnsi" w:cs="Times New Roman"/>
          <w:sz w:val="24"/>
          <w:szCs w:val="24"/>
        </w:rPr>
        <w:t xml:space="preserve"> SPECTRA Centre of Excellence EU, Comenius University, within the framework of the project PM4U – Project Management for EU Urban Transformation</w:t>
      </w:r>
      <w:r w:rsidRPr="000D2842">
        <w:rPr>
          <w:rFonts w:asciiTheme="majorHAnsi" w:eastAsia="Times New Roman" w:hAnsiTheme="majorHAnsi" w:cs="Times New Roman"/>
          <w:sz w:val="24"/>
          <w:szCs w:val="24"/>
        </w:rPr>
        <w:br/>
      </w:r>
      <w:r w:rsidRPr="000D2842">
        <w:rPr>
          <w:rFonts w:asciiTheme="majorHAnsi" w:eastAsia="Times New Roman" w:hAnsiTheme="majorHAnsi" w:cs="Times New Roman"/>
          <w:b/>
          <w:sz w:val="24"/>
          <w:szCs w:val="24"/>
        </w:rPr>
        <w:t>Partners and supporters:</w:t>
      </w:r>
    </w:p>
    <w:p w14:paraId="00000003" w14:textId="77777777" w:rsidR="004B10D5" w:rsidRPr="000D2842" w:rsidRDefault="00000000" w:rsidP="000D2842">
      <w:pPr>
        <w:numPr>
          <w:ilvl w:val="0"/>
          <w:numId w:val="9"/>
        </w:numPr>
        <w:tabs>
          <w:tab w:val="left" w:pos="284"/>
        </w:tabs>
        <w:spacing w:before="280" w:after="0" w:line="240" w:lineRule="auto"/>
        <w:rPr>
          <w:rFonts w:asciiTheme="majorHAnsi" w:eastAsia="Times New Roman" w:hAnsiTheme="majorHAnsi" w:cs="Times New Roman"/>
          <w:sz w:val="24"/>
          <w:szCs w:val="24"/>
        </w:rPr>
      </w:pPr>
      <w:r w:rsidRPr="000D2842">
        <w:rPr>
          <w:rFonts w:asciiTheme="majorHAnsi" w:eastAsia="Times New Roman" w:hAnsiTheme="majorHAnsi" w:cs="Times New Roman"/>
          <w:sz w:val="24"/>
          <w:szCs w:val="24"/>
        </w:rPr>
        <w:t>SPECTRA Centre of  Excellence EU, Comenius University, Bratislava</w:t>
      </w:r>
    </w:p>
    <w:p w14:paraId="00000004" w14:textId="77777777" w:rsidR="004B10D5" w:rsidRPr="000D2842" w:rsidRDefault="00000000" w:rsidP="000D2842">
      <w:pPr>
        <w:numPr>
          <w:ilvl w:val="0"/>
          <w:numId w:val="9"/>
        </w:numPr>
        <w:tabs>
          <w:tab w:val="left" w:pos="284"/>
        </w:tabs>
        <w:spacing w:after="0" w:line="240" w:lineRule="auto"/>
        <w:rPr>
          <w:rFonts w:asciiTheme="majorHAnsi" w:eastAsia="Times New Roman" w:hAnsiTheme="majorHAnsi" w:cs="Times New Roman"/>
          <w:sz w:val="24"/>
          <w:szCs w:val="24"/>
        </w:rPr>
      </w:pPr>
      <w:r w:rsidRPr="000D2842">
        <w:rPr>
          <w:rFonts w:asciiTheme="majorHAnsi" w:eastAsia="Times New Roman" w:hAnsiTheme="majorHAnsi" w:cs="Times New Roman"/>
          <w:sz w:val="24"/>
          <w:szCs w:val="24"/>
        </w:rPr>
        <w:t>AESOP Thematic Group on Transboundary Planning and Governance</w:t>
      </w:r>
    </w:p>
    <w:p w14:paraId="00000005" w14:textId="77777777" w:rsidR="004B10D5" w:rsidRPr="000D2842" w:rsidRDefault="00000000" w:rsidP="000D2842">
      <w:pPr>
        <w:numPr>
          <w:ilvl w:val="0"/>
          <w:numId w:val="9"/>
        </w:numPr>
        <w:tabs>
          <w:tab w:val="left" w:pos="284"/>
        </w:tabs>
        <w:spacing w:after="0" w:line="240" w:lineRule="auto"/>
        <w:rPr>
          <w:rFonts w:asciiTheme="majorHAnsi" w:eastAsia="Times New Roman" w:hAnsiTheme="majorHAnsi" w:cs="Times New Roman"/>
          <w:sz w:val="24"/>
          <w:szCs w:val="24"/>
        </w:rPr>
      </w:pPr>
      <w:r w:rsidRPr="000D2842">
        <w:rPr>
          <w:rFonts w:asciiTheme="majorHAnsi" w:eastAsia="Times New Roman" w:hAnsiTheme="majorHAnsi" w:cs="Times New Roman"/>
          <w:sz w:val="24"/>
          <w:szCs w:val="24"/>
        </w:rPr>
        <w:t>Embassy of Ukraine in the Slovak Republic</w:t>
      </w:r>
    </w:p>
    <w:p w14:paraId="00000006" w14:textId="77777777" w:rsidR="004B10D5" w:rsidRPr="000D2842" w:rsidRDefault="00000000" w:rsidP="000D2842">
      <w:pPr>
        <w:numPr>
          <w:ilvl w:val="0"/>
          <w:numId w:val="9"/>
        </w:numPr>
        <w:tabs>
          <w:tab w:val="left" w:pos="284"/>
        </w:tabs>
        <w:spacing w:after="280" w:line="240" w:lineRule="auto"/>
        <w:rPr>
          <w:rFonts w:asciiTheme="majorHAnsi" w:eastAsia="Times New Roman" w:hAnsiTheme="majorHAnsi" w:cs="Times New Roman"/>
          <w:sz w:val="24"/>
          <w:szCs w:val="24"/>
          <w:lang w:val="it-IT"/>
        </w:rPr>
      </w:pPr>
      <w:r w:rsidRPr="000D2842">
        <w:rPr>
          <w:rFonts w:asciiTheme="majorHAnsi" w:eastAsia="Times New Roman" w:hAnsiTheme="majorHAnsi" w:cs="Times New Roman"/>
          <w:sz w:val="24"/>
          <w:szCs w:val="24"/>
          <w:lang w:val="it-IT"/>
        </w:rPr>
        <w:t xml:space="preserve">NGO </w:t>
      </w:r>
      <w:r w:rsidRPr="000D2842">
        <w:rPr>
          <w:rFonts w:asciiTheme="majorHAnsi" w:eastAsia="Times New Roman" w:hAnsiTheme="majorHAnsi" w:cs="Times New Roman"/>
          <w:b/>
          <w:sz w:val="24"/>
          <w:szCs w:val="24"/>
          <w:lang w:val="it-IT"/>
        </w:rPr>
        <w:t>SME–Spolu (Ukraine</w:t>
      </w:r>
      <w:r w:rsidRPr="000D2842">
        <w:rPr>
          <w:rFonts w:asciiTheme="majorHAnsi" w:eastAsia="Times New Roman" w:hAnsiTheme="majorHAnsi" w:cs="Cambria"/>
          <w:b/>
          <w:sz w:val="24"/>
          <w:szCs w:val="24"/>
          <w:lang w:val="it-IT"/>
        </w:rPr>
        <w:t>–</w:t>
      </w:r>
      <w:r w:rsidRPr="000D2842">
        <w:rPr>
          <w:rFonts w:asciiTheme="majorHAnsi" w:eastAsia="Times New Roman" w:hAnsiTheme="majorHAnsi" w:cs="Times New Roman"/>
          <w:b/>
          <w:sz w:val="24"/>
          <w:szCs w:val="24"/>
          <w:lang w:val="it-IT"/>
        </w:rPr>
        <w:t>Slovakia SOS)</w:t>
      </w:r>
    </w:p>
    <w:p w14:paraId="00000007" w14:textId="77777777" w:rsidR="004B10D5" w:rsidRPr="000D2842" w:rsidRDefault="00000000" w:rsidP="000D2842">
      <w:pPr>
        <w:tabs>
          <w:tab w:val="left" w:pos="284"/>
        </w:tabs>
        <w:spacing w:before="280" w:after="280" w:line="240" w:lineRule="auto"/>
        <w:rPr>
          <w:rFonts w:asciiTheme="majorHAnsi" w:eastAsia="Times New Roman" w:hAnsiTheme="majorHAnsi" w:cs="Times New Roman"/>
          <w:sz w:val="24"/>
          <w:szCs w:val="24"/>
        </w:rPr>
      </w:pPr>
      <w:r w:rsidRPr="000D2842">
        <w:rPr>
          <w:rFonts w:asciiTheme="majorHAnsi" w:eastAsia="Times New Roman" w:hAnsiTheme="majorHAnsi" w:cs="Times New Roman"/>
          <w:b/>
          <w:sz w:val="24"/>
          <w:szCs w:val="24"/>
        </w:rPr>
        <w:t>Format:</w:t>
      </w:r>
      <w:r w:rsidRPr="000D2842">
        <w:rPr>
          <w:rFonts w:asciiTheme="majorHAnsi" w:eastAsia="Times New Roman" w:hAnsiTheme="majorHAnsi" w:cs="Times New Roman"/>
          <w:sz w:val="24"/>
          <w:szCs w:val="24"/>
        </w:rPr>
        <w:t xml:space="preserve"> Hybrid (online + onsite, Bratislava, </w:t>
      </w:r>
      <w:proofErr w:type="spellStart"/>
      <w:r w:rsidRPr="000D2842">
        <w:rPr>
          <w:rFonts w:asciiTheme="majorHAnsi" w:eastAsia="Times New Roman" w:hAnsiTheme="majorHAnsi" w:cs="Times New Roman"/>
          <w:sz w:val="24"/>
          <w:szCs w:val="24"/>
        </w:rPr>
        <w:t>Vazovova</w:t>
      </w:r>
      <w:proofErr w:type="spellEnd"/>
      <w:r w:rsidRPr="000D2842">
        <w:rPr>
          <w:rFonts w:asciiTheme="majorHAnsi" w:eastAsia="Times New Roman" w:hAnsiTheme="majorHAnsi" w:cs="Times New Roman"/>
          <w:sz w:val="24"/>
          <w:szCs w:val="24"/>
        </w:rPr>
        <w:t xml:space="preserve"> 5)</w:t>
      </w:r>
      <w:r w:rsidRPr="000D2842">
        <w:rPr>
          <w:rFonts w:asciiTheme="majorHAnsi" w:eastAsia="Times New Roman" w:hAnsiTheme="majorHAnsi" w:cs="Times New Roman"/>
          <w:sz w:val="24"/>
          <w:szCs w:val="24"/>
        </w:rPr>
        <w:br/>
      </w:r>
    </w:p>
    <w:p w14:paraId="00000008" w14:textId="77777777" w:rsidR="004B10D5" w:rsidRPr="000D2842" w:rsidRDefault="00000000" w:rsidP="000D2842">
      <w:pPr>
        <w:tabs>
          <w:tab w:val="left" w:pos="284"/>
        </w:tabs>
        <w:spacing w:before="280" w:after="280" w:line="240" w:lineRule="auto"/>
        <w:rPr>
          <w:rFonts w:asciiTheme="majorHAnsi" w:eastAsia="Times New Roman" w:hAnsiTheme="majorHAnsi" w:cs="Times New Roman"/>
          <w:b/>
          <w:sz w:val="36"/>
          <w:szCs w:val="36"/>
        </w:rPr>
      </w:pPr>
      <w:r w:rsidRPr="000D2842">
        <w:rPr>
          <w:rFonts w:asciiTheme="majorHAnsi" w:eastAsia="Times New Roman" w:hAnsiTheme="majorHAnsi" w:cs="Times New Roman"/>
          <w:b/>
          <w:sz w:val="36"/>
          <w:szCs w:val="36"/>
        </w:rPr>
        <w:t>Overview</w:t>
      </w:r>
    </w:p>
    <w:p w14:paraId="00000009" w14:textId="77777777" w:rsidR="004B10D5" w:rsidRPr="000D2842" w:rsidRDefault="00000000" w:rsidP="000D2842">
      <w:pPr>
        <w:tabs>
          <w:tab w:val="left" w:pos="284"/>
        </w:tabs>
        <w:spacing w:before="280" w:after="280" w:line="240" w:lineRule="auto"/>
        <w:rPr>
          <w:rFonts w:asciiTheme="majorHAnsi" w:eastAsia="Times New Roman" w:hAnsiTheme="majorHAnsi" w:cs="Times New Roman"/>
          <w:sz w:val="24"/>
          <w:szCs w:val="24"/>
        </w:rPr>
      </w:pPr>
      <w:r w:rsidRPr="000D2842">
        <w:rPr>
          <w:rFonts w:asciiTheme="majorHAnsi" w:eastAsia="Times New Roman" w:hAnsiTheme="majorHAnsi" w:cs="Times New Roman"/>
          <w:sz w:val="24"/>
          <w:szCs w:val="24"/>
        </w:rPr>
        <w:t>The event consisted of two open lectures:</w:t>
      </w:r>
    </w:p>
    <w:p w14:paraId="5DFE7F38" w14:textId="77777777" w:rsidR="000D2842" w:rsidRDefault="00000000" w:rsidP="000D2842">
      <w:pPr>
        <w:pStyle w:val="NormalWeb"/>
        <w:numPr>
          <w:ilvl w:val="0"/>
          <w:numId w:val="8"/>
        </w:numPr>
        <w:tabs>
          <w:tab w:val="left" w:pos="284"/>
        </w:tabs>
        <w:jc w:val="both"/>
        <w:rPr>
          <w:rFonts w:asciiTheme="majorHAnsi" w:hAnsiTheme="majorHAnsi"/>
        </w:rPr>
      </w:pPr>
      <w:proofErr w:type="spellStart"/>
      <w:r w:rsidRPr="000D2842">
        <w:rPr>
          <w:rFonts w:asciiTheme="majorHAnsi" w:hAnsiTheme="majorHAnsi"/>
          <w:b/>
          <w:bCs/>
        </w:rPr>
        <w:t>Eurointegration</w:t>
      </w:r>
      <w:proofErr w:type="spellEnd"/>
      <w:r w:rsidRPr="000D2842">
        <w:rPr>
          <w:rFonts w:asciiTheme="majorHAnsi" w:hAnsiTheme="majorHAnsi"/>
          <w:b/>
          <w:bCs/>
        </w:rPr>
        <w:t xml:space="preserve"> and Regional Development of Ukraine</w:t>
      </w:r>
      <w:r w:rsidR="005E5374" w:rsidRPr="000D2842">
        <w:rPr>
          <w:rFonts w:asciiTheme="majorHAnsi" w:hAnsiTheme="majorHAnsi"/>
          <w:b/>
          <w:bCs/>
        </w:rPr>
        <w:t xml:space="preserve"> (</w:t>
      </w:r>
      <w:r w:rsidRPr="000D2842">
        <w:rPr>
          <w:rFonts w:asciiTheme="majorHAnsi" w:hAnsiTheme="majorHAnsi"/>
          <w:b/>
          <w:bCs/>
        </w:rPr>
        <w:t>September 30, 2025</w:t>
      </w:r>
      <w:r w:rsidR="000D2842" w:rsidRPr="000D2842">
        <w:rPr>
          <w:rFonts w:asciiTheme="majorHAnsi" w:hAnsiTheme="majorHAnsi"/>
          <w:b/>
          <w:bCs/>
        </w:rPr>
        <w:t xml:space="preserve">). </w:t>
      </w:r>
      <w:r w:rsidR="000D2842" w:rsidRPr="000D2842">
        <w:rPr>
          <w:rFonts w:asciiTheme="majorHAnsi" w:hAnsiTheme="majorHAnsi"/>
        </w:rPr>
        <w:t xml:space="preserve">This lecture explored Ukraine’s path toward European integration and its implications for regional development and governance. It situated Ukraine’s EU orientation within a broader geopolitical and historical framework, tracing the evolution from the 1994 Partnership and Cooperation Agreement to the current stage of EU accession aspirations. Particular attention was given to how EU principles—especially cohesion policy and sustainable transformation—had shaped Ukraine’s regional planning and institutional reforms, even amid the disruptions caused by Russian </w:t>
      </w:r>
      <w:proofErr w:type="spellStart"/>
      <w:r w:rsidR="000D2842" w:rsidRPr="000D2842">
        <w:rPr>
          <w:rFonts w:asciiTheme="majorHAnsi" w:hAnsiTheme="majorHAnsi"/>
        </w:rPr>
        <w:t>aggression.Through</w:t>
      </w:r>
      <w:proofErr w:type="spellEnd"/>
      <w:r w:rsidR="000D2842" w:rsidRPr="000D2842">
        <w:rPr>
          <w:rFonts w:asciiTheme="majorHAnsi" w:hAnsiTheme="majorHAnsi"/>
        </w:rPr>
        <w:t xml:space="preserve"> a discussion of governance challenges, policy alignment, and the strategic role of regions in Ukraine’s recovery and modernization, the lecture highlighted the mutual benefits and lessons for both Ukraine and the European Union. It encouraged participants to reflect on how Ukraine’s transformation experience could contribute to a more resilient, cohesive, and inclusive Europe.</w:t>
      </w:r>
    </w:p>
    <w:p w14:paraId="58244180" w14:textId="7D30B41F" w:rsidR="005E5374" w:rsidRPr="000D2842" w:rsidRDefault="00000000" w:rsidP="000D2842">
      <w:pPr>
        <w:pStyle w:val="NormalWeb"/>
        <w:numPr>
          <w:ilvl w:val="0"/>
          <w:numId w:val="8"/>
        </w:numPr>
        <w:tabs>
          <w:tab w:val="left" w:pos="284"/>
        </w:tabs>
        <w:jc w:val="both"/>
        <w:rPr>
          <w:rFonts w:asciiTheme="majorHAnsi" w:hAnsiTheme="majorHAnsi"/>
        </w:rPr>
      </w:pPr>
      <w:r w:rsidRPr="000D2842">
        <w:rPr>
          <w:rFonts w:asciiTheme="majorHAnsi" w:hAnsiTheme="majorHAnsi"/>
          <w:b/>
          <w:bCs/>
        </w:rPr>
        <w:t xml:space="preserve">Modern History of Ukraine: The Path to </w:t>
      </w:r>
      <w:proofErr w:type="spellStart"/>
      <w:r w:rsidRPr="000D2842">
        <w:rPr>
          <w:rFonts w:asciiTheme="majorHAnsi" w:hAnsiTheme="majorHAnsi"/>
          <w:b/>
          <w:bCs/>
        </w:rPr>
        <w:t>Eurointegration</w:t>
      </w:r>
      <w:proofErr w:type="spellEnd"/>
      <w:r w:rsidR="000D2842" w:rsidRPr="000D2842">
        <w:rPr>
          <w:rFonts w:asciiTheme="majorHAnsi" w:hAnsiTheme="majorHAnsi"/>
          <w:b/>
          <w:bCs/>
        </w:rPr>
        <w:t xml:space="preserve"> (</w:t>
      </w:r>
      <w:r w:rsidRPr="000D2842">
        <w:rPr>
          <w:rFonts w:asciiTheme="majorHAnsi" w:hAnsiTheme="majorHAnsi"/>
          <w:b/>
          <w:bCs/>
        </w:rPr>
        <w:t>October 2, 2025</w:t>
      </w:r>
      <w:r w:rsidR="000D2842" w:rsidRPr="000D2842">
        <w:rPr>
          <w:rFonts w:asciiTheme="majorHAnsi" w:hAnsiTheme="majorHAnsi"/>
          <w:b/>
          <w:bCs/>
        </w:rPr>
        <w:t>)</w:t>
      </w:r>
      <w:r w:rsidR="000D2842">
        <w:rPr>
          <w:rFonts w:asciiTheme="majorHAnsi" w:hAnsiTheme="majorHAnsi"/>
          <w:b/>
          <w:bCs/>
        </w:rPr>
        <w:t>.</w:t>
      </w:r>
      <w:r w:rsidR="000D2842">
        <w:rPr>
          <w:rFonts w:asciiTheme="majorHAnsi" w:hAnsiTheme="majorHAnsi"/>
        </w:rPr>
        <w:t xml:space="preserve"> </w:t>
      </w:r>
      <w:r w:rsidR="005E5374" w:rsidRPr="000D2842">
        <w:rPr>
          <w:rFonts w:asciiTheme="majorHAnsi" w:hAnsiTheme="majorHAnsi"/>
        </w:rPr>
        <w:t>This lecture offered a comprehensive overview of Ukraine’s modern history from independence in 1991 to the present day, focusing on the nation’s evolving political identity, governance structures, and European aspirations. It examined the key historical milestones that had defined Ukraine’s trajectory toward the European Union, including the Orange Revolution, the Revolution of Dignity, and the signing of the EU–Ukraine Association Agreement.</w:t>
      </w:r>
      <w:r w:rsidR="000D2842">
        <w:rPr>
          <w:rFonts w:asciiTheme="majorHAnsi" w:hAnsiTheme="majorHAnsi"/>
        </w:rPr>
        <w:t xml:space="preserve"> </w:t>
      </w:r>
      <w:r w:rsidR="005E5374" w:rsidRPr="000D2842">
        <w:rPr>
          <w:rFonts w:asciiTheme="majorHAnsi" w:hAnsiTheme="majorHAnsi"/>
        </w:rPr>
        <w:t>Special emphasis was placed on the resilience of Ukrainian society and institutions amid continuous external pressure and the transformative impact of Russian aggression, particularly following the 2022 full-scale invasion. By linking historical events with contemporary integration efforts, the lecture demonstrated how Ukraine’s struggle for sovereignty and democratic consolidation had strengthened its alignment with European values and reinforced the foundations for eventual EU membership.</w:t>
      </w:r>
      <w:r w:rsidR="005E5374" w:rsidRPr="000D2842">
        <w:rPr>
          <w:rFonts w:asciiTheme="majorHAnsi" w:hAnsiTheme="majorHAnsi"/>
          <w:b/>
        </w:rPr>
        <w:t xml:space="preserve"> </w:t>
      </w:r>
    </w:p>
    <w:p w14:paraId="52E43E11" w14:textId="0B305472" w:rsidR="005E5374" w:rsidRPr="000D2842" w:rsidRDefault="005E5374" w:rsidP="000D2842">
      <w:pPr>
        <w:tabs>
          <w:tab w:val="left" w:pos="284"/>
        </w:tabs>
        <w:spacing w:before="280" w:after="280" w:line="240" w:lineRule="auto"/>
        <w:rPr>
          <w:rFonts w:asciiTheme="majorHAnsi" w:eastAsia="Times New Roman" w:hAnsiTheme="majorHAnsi" w:cs="Times New Roman"/>
          <w:b/>
          <w:sz w:val="36"/>
          <w:szCs w:val="36"/>
        </w:rPr>
      </w:pPr>
      <w:r w:rsidRPr="000D2842">
        <w:rPr>
          <w:rFonts w:asciiTheme="majorHAnsi" w:eastAsia="Times New Roman" w:hAnsiTheme="majorHAnsi" w:cs="Times New Roman"/>
          <w:b/>
          <w:sz w:val="36"/>
          <w:szCs w:val="36"/>
        </w:rPr>
        <w:lastRenderedPageBreak/>
        <w:t>Information about the speaker</w:t>
      </w:r>
    </w:p>
    <w:p w14:paraId="6D118C37" w14:textId="65F1B61A" w:rsidR="005E5374" w:rsidRPr="000D2842" w:rsidRDefault="005E5374" w:rsidP="000D2842">
      <w:pPr>
        <w:shd w:val="clear" w:color="auto" w:fill="FFFFFF"/>
        <w:tabs>
          <w:tab w:val="left" w:pos="284"/>
        </w:tabs>
        <w:jc w:val="both"/>
        <w:rPr>
          <w:rFonts w:asciiTheme="majorHAnsi" w:eastAsia="Times New Roman" w:hAnsiTheme="majorHAnsi" w:cs="Times New Roman"/>
          <w:b/>
          <w:sz w:val="24"/>
          <w:szCs w:val="24"/>
        </w:rPr>
      </w:pPr>
      <w:r w:rsidRPr="000D2842">
        <w:rPr>
          <w:rFonts w:asciiTheme="majorHAnsi" w:hAnsiTheme="majorHAnsi" w:cs="Segoe UI"/>
          <w:sz w:val="24"/>
          <w:szCs w:val="24"/>
        </w:rPr>
        <w:t>Dr. Ivan Balykin is an Associate Professor, historian, and legal scholar with a Ph.D. in Historical Sciences and a Master</w:t>
      </w:r>
      <w:r w:rsidRPr="000D2842">
        <w:rPr>
          <w:rFonts w:asciiTheme="majorHAnsi" w:hAnsiTheme="majorHAnsi" w:cs="Times New Roman"/>
          <w:sz w:val="24"/>
          <w:szCs w:val="24"/>
        </w:rPr>
        <w:t>’</w:t>
      </w:r>
      <w:r w:rsidRPr="000D2842">
        <w:rPr>
          <w:rFonts w:asciiTheme="majorHAnsi" w:hAnsiTheme="majorHAnsi" w:cs="Segoe UI"/>
          <w:sz w:val="24"/>
          <w:szCs w:val="24"/>
        </w:rPr>
        <w:t>s degree in Law. He is currently a Research Associate at the Chair of Contemporary History at the University of Mannheim (Germany) and a Visiting Professor at the Karlsruhe Institute of Technology, where he teaches courses on modern Ukrainian history, European integration, and politics of memory.</w:t>
      </w:r>
      <w:r w:rsidR="000D2842">
        <w:rPr>
          <w:rFonts w:asciiTheme="majorHAnsi" w:hAnsiTheme="majorHAnsi" w:cs="Segoe UI"/>
          <w:sz w:val="24"/>
          <w:szCs w:val="24"/>
        </w:rPr>
        <w:t xml:space="preserve"> </w:t>
      </w:r>
      <w:r w:rsidRPr="000D2842">
        <w:rPr>
          <w:rFonts w:asciiTheme="majorHAnsi" w:hAnsiTheme="majorHAnsi" w:cs="Segoe UI"/>
          <w:sz w:val="24"/>
          <w:szCs w:val="24"/>
        </w:rPr>
        <w:t>With over 15 years of academic and public sector experience, Dr. Balykin has authored more than 45 scientific publications and has taught in leading universities in Ukraine and Germany. His research focuses on Ukraine</w:t>
      </w:r>
      <w:r w:rsidRPr="000D2842">
        <w:rPr>
          <w:rFonts w:asciiTheme="majorHAnsi" w:hAnsiTheme="majorHAnsi" w:cs="Times New Roman"/>
          <w:sz w:val="24"/>
          <w:szCs w:val="24"/>
        </w:rPr>
        <w:t>’</w:t>
      </w:r>
      <w:r w:rsidRPr="000D2842">
        <w:rPr>
          <w:rFonts w:asciiTheme="majorHAnsi" w:hAnsiTheme="majorHAnsi" w:cs="Segoe UI"/>
          <w:sz w:val="24"/>
          <w:szCs w:val="24"/>
        </w:rPr>
        <w:t>s modern statehood, democratic development, and the impact of Russian aggression on national identity and regional transformation. He is actively involved in educational reform, civic initiatives, and international academic collaboration.</w:t>
      </w:r>
      <w:r w:rsidR="000D2842">
        <w:rPr>
          <w:rFonts w:asciiTheme="majorHAnsi" w:hAnsiTheme="majorHAnsi" w:cs="Segoe UI"/>
          <w:sz w:val="24"/>
          <w:szCs w:val="24"/>
        </w:rPr>
        <w:t xml:space="preserve"> </w:t>
      </w:r>
      <w:r w:rsidRPr="000D2842">
        <w:rPr>
          <w:rFonts w:asciiTheme="majorHAnsi" w:hAnsiTheme="majorHAnsi" w:cs="Segoe UI"/>
          <w:sz w:val="24"/>
          <w:szCs w:val="24"/>
          <w:shd w:val="clear" w:color="auto" w:fill="FFFFFF"/>
        </w:rPr>
        <w:t>As an expert in the accreditation of educational programs for both the National Agency for Higher Education Quality Assurance and the State Service for Education Quality of Ukraine, Dr. Balykin contributes to the modernization of Ukraine</w:t>
      </w:r>
      <w:r w:rsidRPr="000D2842">
        <w:rPr>
          <w:rFonts w:asciiTheme="majorHAnsi" w:hAnsiTheme="majorHAnsi" w:cs="Times New Roman"/>
          <w:sz w:val="24"/>
          <w:szCs w:val="24"/>
          <w:shd w:val="clear" w:color="auto" w:fill="FFFFFF"/>
        </w:rPr>
        <w:t>’</w:t>
      </w:r>
      <w:r w:rsidRPr="000D2842">
        <w:rPr>
          <w:rFonts w:asciiTheme="majorHAnsi" w:hAnsiTheme="majorHAnsi" w:cs="Segoe UI"/>
          <w:sz w:val="24"/>
          <w:szCs w:val="24"/>
          <w:shd w:val="clear" w:color="auto" w:fill="FFFFFF"/>
        </w:rPr>
        <w:t>s higher education system. He is also known for his dynamic public speaking, strategic thinking, and commitment to educational excellence.</w:t>
      </w:r>
    </w:p>
    <w:p w14:paraId="0000000D" w14:textId="662FCD4F" w:rsidR="004B10D5" w:rsidRPr="000D2842" w:rsidRDefault="00000000" w:rsidP="000D2842">
      <w:pPr>
        <w:tabs>
          <w:tab w:val="left" w:pos="284"/>
        </w:tabs>
        <w:spacing w:before="280" w:after="280" w:line="240" w:lineRule="auto"/>
        <w:rPr>
          <w:rFonts w:asciiTheme="majorHAnsi" w:eastAsia="Times New Roman" w:hAnsiTheme="majorHAnsi" w:cs="Times New Roman"/>
          <w:b/>
          <w:sz w:val="36"/>
          <w:szCs w:val="36"/>
        </w:rPr>
      </w:pPr>
      <w:r w:rsidRPr="000D2842">
        <w:rPr>
          <w:rFonts w:asciiTheme="majorHAnsi" w:eastAsia="Times New Roman" w:hAnsiTheme="majorHAnsi" w:cs="Times New Roman"/>
          <w:b/>
          <w:sz w:val="36"/>
          <w:szCs w:val="36"/>
        </w:rPr>
        <w:t>Participants</w:t>
      </w:r>
    </w:p>
    <w:p w14:paraId="0000000E" w14:textId="77777777" w:rsidR="004B10D5" w:rsidRPr="000D2842" w:rsidRDefault="00000000" w:rsidP="000D2842">
      <w:pPr>
        <w:numPr>
          <w:ilvl w:val="0"/>
          <w:numId w:val="10"/>
        </w:numPr>
        <w:tabs>
          <w:tab w:val="left" w:pos="284"/>
        </w:tabs>
        <w:spacing w:before="280" w:after="0" w:line="240" w:lineRule="auto"/>
        <w:rPr>
          <w:rFonts w:asciiTheme="majorHAnsi" w:eastAsia="Times New Roman" w:hAnsiTheme="majorHAnsi" w:cs="Times New Roman"/>
          <w:sz w:val="24"/>
          <w:szCs w:val="24"/>
        </w:rPr>
      </w:pPr>
      <w:r w:rsidRPr="000D2842">
        <w:rPr>
          <w:rFonts w:asciiTheme="majorHAnsi" w:eastAsia="Times New Roman" w:hAnsiTheme="majorHAnsi" w:cs="Times New Roman"/>
          <w:b/>
          <w:sz w:val="24"/>
          <w:szCs w:val="24"/>
        </w:rPr>
        <w:t>Total:</w:t>
      </w:r>
      <w:r w:rsidRPr="000D2842">
        <w:rPr>
          <w:rFonts w:asciiTheme="majorHAnsi" w:eastAsia="Times New Roman" w:hAnsiTheme="majorHAnsi" w:cs="Times New Roman"/>
          <w:sz w:val="24"/>
          <w:szCs w:val="24"/>
        </w:rPr>
        <w:t xml:space="preserve"> 399 registered participants</w:t>
      </w:r>
    </w:p>
    <w:p w14:paraId="0000000F" w14:textId="77777777" w:rsidR="004B10D5" w:rsidRPr="000D2842" w:rsidRDefault="00000000" w:rsidP="000D2842">
      <w:pPr>
        <w:numPr>
          <w:ilvl w:val="0"/>
          <w:numId w:val="10"/>
        </w:numPr>
        <w:tabs>
          <w:tab w:val="left" w:pos="284"/>
        </w:tabs>
        <w:spacing w:after="0" w:line="240" w:lineRule="auto"/>
        <w:rPr>
          <w:rFonts w:asciiTheme="majorHAnsi" w:eastAsia="Times New Roman" w:hAnsiTheme="majorHAnsi" w:cs="Times New Roman"/>
          <w:sz w:val="24"/>
          <w:szCs w:val="24"/>
        </w:rPr>
      </w:pPr>
      <w:r w:rsidRPr="000D2842">
        <w:rPr>
          <w:rFonts w:asciiTheme="majorHAnsi" w:eastAsia="Times New Roman" w:hAnsiTheme="majorHAnsi" w:cs="Times New Roman"/>
          <w:b/>
          <w:sz w:val="24"/>
          <w:szCs w:val="24"/>
        </w:rPr>
        <w:t>Lecture 1 (</w:t>
      </w:r>
      <w:proofErr w:type="spellStart"/>
      <w:r w:rsidRPr="000D2842">
        <w:rPr>
          <w:rFonts w:asciiTheme="majorHAnsi" w:eastAsia="Times New Roman" w:hAnsiTheme="majorHAnsi" w:cs="Times New Roman"/>
          <w:b/>
          <w:sz w:val="24"/>
          <w:szCs w:val="24"/>
        </w:rPr>
        <w:t>Eurointegration</w:t>
      </w:r>
      <w:proofErr w:type="spellEnd"/>
      <w:r w:rsidRPr="000D2842">
        <w:rPr>
          <w:rFonts w:asciiTheme="majorHAnsi" w:eastAsia="Times New Roman" w:hAnsiTheme="majorHAnsi" w:cs="Times New Roman"/>
          <w:b/>
          <w:sz w:val="24"/>
          <w:szCs w:val="24"/>
        </w:rPr>
        <w:t xml:space="preserve"> and Regional Development of Ukraine):</w:t>
      </w:r>
      <w:r w:rsidRPr="000D2842">
        <w:rPr>
          <w:rFonts w:asciiTheme="majorHAnsi" w:eastAsia="Times New Roman" w:hAnsiTheme="majorHAnsi" w:cs="Times New Roman"/>
          <w:sz w:val="24"/>
          <w:szCs w:val="24"/>
        </w:rPr>
        <w:t xml:space="preserve"> 215 registered participants</w:t>
      </w:r>
    </w:p>
    <w:p w14:paraId="00000010" w14:textId="77777777" w:rsidR="004B10D5" w:rsidRPr="000D2842" w:rsidRDefault="00000000" w:rsidP="000D2842">
      <w:pPr>
        <w:numPr>
          <w:ilvl w:val="0"/>
          <w:numId w:val="10"/>
        </w:numPr>
        <w:tabs>
          <w:tab w:val="left" w:pos="284"/>
        </w:tabs>
        <w:spacing w:after="280" w:line="240" w:lineRule="auto"/>
        <w:rPr>
          <w:rFonts w:asciiTheme="majorHAnsi" w:eastAsia="Times New Roman" w:hAnsiTheme="majorHAnsi" w:cs="Times New Roman"/>
          <w:sz w:val="24"/>
          <w:szCs w:val="24"/>
        </w:rPr>
      </w:pPr>
      <w:r w:rsidRPr="000D2842">
        <w:rPr>
          <w:rFonts w:asciiTheme="majorHAnsi" w:eastAsia="Times New Roman" w:hAnsiTheme="majorHAnsi" w:cs="Times New Roman"/>
          <w:b/>
          <w:sz w:val="24"/>
          <w:szCs w:val="24"/>
        </w:rPr>
        <w:t xml:space="preserve">Lecture 2 (Modern History of Ukraine: The Path to </w:t>
      </w:r>
      <w:proofErr w:type="spellStart"/>
      <w:r w:rsidRPr="000D2842">
        <w:rPr>
          <w:rFonts w:asciiTheme="majorHAnsi" w:eastAsia="Times New Roman" w:hAnsiTheme="majorHAnsi" w:cs="Times New Roman"/>
          <w:b/>
          <w:sz w:val="24"/>
          <w:szCs w:val="24"/>
        </w:rPr>
        <w:t>Eurointegration</w:t>
      </w:r>
      <w:proofErr w:type="spellEnd"/>
      <w:r w:rsidRPr="000D2842">
        <w:rPr>
          <w:rFonts w:asciiTheme="majorHAnsi" w:eastAsia="Times New Roman" w:hAnsiTheme="majorHAnsi" w:cs="Times New Roman"/>
          <w:b/>
          <w:sz w:val="24"/>
          <w:szCs w:val="24"/>
        </w:rPr>
        <w:t>):</w:t>
      </w:r>
      <w:r w:rsidRPr="000D2842">
        <w:rPr>
          <w:rFonts w:asciiTheme="majorHAnsi" w:eastAsia="Times New Roman" w:hAnsiTheme="majorHAnsi" w:cs="Times New Roman"/>
          <w:sz w:val="24"/>
          <w:szCs w:val="24"/>
        </w:rPr>
        <w:t xml:space="preserve"> 184 registered participants</w:t>
      </w:r>
    </w:p>
    <w:p w14:paraId="00000011" w14:textId="77777777" w:rsidR="004B10D5" w:rsidRPr="000D2842" w:rsidRDefault="00000000" w:rsidP="000D2842">
      <w:pPr>
        <w:tabs>
          <w:tab w:val="left" w:pos="284"/>
        </w:tabs>
        <w:spacing w:before="280" w:after="280" w:line="240" w:lineRule="auto"/>
        <w:rPr>
          <w:rFonts w:asciiTheme="majorHAnsi" w:eastAsia="Times New Roman" w:hAnsiTheme="majorHAnsi" w:cs="Times New Roman"/>
          <w:b/>
          <w:sz w:val="27"/>
          <w:szCs w:val="27"/>
        </w:rPr>
      </w:pPr>
      <w:r w:rsidRPr="000D2842">
        <w:rPr>
          <w:rFonts w:asciiTheme="majorHAnsi" w:eastAsia="Times New Roman" w:hAnsiTheme="majorHAnsi" w:cs="Times New Roman"/>
          <w:b/>
          <w:sz w:val="27"/>
          <w:szCs w:val="27"/>
        </w:rPr>
        <w:t>Participation format</w:t>
      </w:r>
    </w:p>
    <w:p w14:paraId="00000012" w14:textId="77777777" w:rsidR="004B10D5" w:rsidRPr="000D2842" w:rsidRDefault="00000000" w:rsidP="000D2842">
      <w:pPr>
        <w:numPr>
          <w:ilvl w:val="0"/>
          <w:numId w:val="11"/>
        </w:numPr>
        <w:tabs>
          <w:tab w:val="left" w:pos="284"/>
        </w:tabs>
        <w:spacing w:before="280" w:after="0" w:line="240" w:lineRule="auto"/>
        <w:rPr>
          <w:rFonts w:asciiTheme="majorHAnsi" w:eastAsia="Times New Roman" w:hAnsiTheme="majorHAnsi" w:cs="Times New Roman"/>
          <w:sz w:val="24"/>
          <w:szCs w:val="24"/>
        </w:rPr>
      </w:pPr>
      <w:r w:rsidRPr="000D2842">
        <w:rPr>
          <w:rFonts w:asciiTheme="majorHAnsi" w:eastAsia="Times New Roman" w:hAnsiTheme="majorHAnsi" w:cs="Times New Roman"/>
          <w:sz w:val="24"/>
          <w:szCs w:val="24"/>
        </w:rPr>
        <w:t>Online – 377</w:t>
      </w:r>
    </w:p>
    <w:p w14:paraId="00000013" w14:textId="77777777" w:rsidR="004B10D5" w:rsidRPr="000D2842" w:rsidRDefault="00000000" w:rsidP="000D2842">
      <w:pPr>
        <w:numPr>
          <w:ilvl w:val="0"/>
          <w:numId w:val="11"/>
        </w:numPr>
        <w:tabs>
          <w:tab w:val="left" w:pos="284"/>
        </w:tabs>
        <w:spacing w:after="280" w:line="240" w:lineRule="auto"/>
        <w:rPr>
          <w:rFonts w:asciiTheme="majorHAnsi" w:eastAsia="Times New Roman" w:hAnsiTheme="majorHAnsi" w:cs="Times New Roman"/>
          <w:sz w:val="24"/>
          <w:szCs w:val="24"/>
        </w:rPr>
      </w:pPr>
      <w:r w:rsidRPr="000D2842">
        <w:rPr>
          <w:rFonts w:asciiTheme="majorHAnsi" w:eastAsia="Times New Roman" w:hAnsiTheme="majorHAnsi" w:cs="Times New Roman"/>
          <w:sz w:val="24"/>
          <w:szCs w:val="24"/>
        </w:rPr>
        <w:t xml:space="preserve">Onsite (Bratislava, </w:t>
      </w:r>
      <w:proofErr w:type="spellStart"/>
      <w:r w:rsidRPr="000D2842">
        <w:rPr>
          <w:rFonts w:asciiTheme="majorHAnsi" w:eastAsia="Times New Roman" w:hAnsiTheme="majorHAnsi" w:cs="Times New Roman"/>
          <w:sz w:val="24"/>
          <w:szCs w:val="24"/>
        </w:rPr>
        <w:t>Vazovova</w:t>
      </w:r>
      <w:proofErr w:type="spellEnd"/>
      <w:r w:rsidRPr="000D2842">
        <w:rPr>
          <w:rFonts w:asciiTheme="majorHAnsi" w:eastAsia="Times New Roman" w:hAnsiTheme="majorHAnsi" w:cs="Times New Roman"/>
          <w:sz w:val="24"/>
          <w:szCs w:val="24"/>
        </w:rPr>
        <w:t xml:space="preserve"> 5) – 22</w:t>
      </w:r>
    </w:p>
    <w:p w14:paraId="00000014" w14:textId="77777777" w:rsidR="004B10D5" w:rsidRPr="000D2842" w:rsidRDefault="00000000" w:rsidP="000D2842">
      <w:pPr>
        <w:tabs>
          <w:tab w:val="left" w:pos="284"/>
        </w:tabs>
        <w:spacing w:before="280" w:after="280" w:line="240" w:lineRule="auto"/>
        <w:rPr>
          <w:rFonts w:asciiTheme="majorHAnsi" w:eastAsia="Times New Roman" w:hAnsiTheme="majorHAnsi" w:cs="Times New Roman"/>
          <w:b/>
          <w:sz w:val="27"/>
          <w:szCs w:val="27"/>
        </w:rPr>
      </w:pPr>
      <w:r w:rsidRPr="000D2842">
        <w:rPr>
          <w:rFonts w:asciiTheme="majorHAnsi" w:eastAsia="Times New Roman" w:hAnsiTheme="majorHAnsi" w:cs="Times New Roman"/>
          <w:b/>
          <w:sz w:val="27"/>
          <w:szCs w:val="27"/>
        </w:rPr>
        <w:t>Top represented institutions</w:t>
      </w:r>
    </w:p>
    <w:p w14:paraId="00000015" w14:textId="77777777" w:rsidR="004B10D5" w:rsidRPr="000D2842" w:rsidRDefault="00000000" w:rsidP="000D2842">
      <w:pPr>
        <w:numPr>
          <w:ilvl w:val="0"/>
          <w:numId w:val="12"/>
        </w:numPr>
        <w:tabs>
          <w:tab w:val="left" w:pos="284"/>
        </w:tabs>
        <w:spacing w:before="280" w:after="0" w:line="240" w:lineRule="auto"/>
        <w:rPr>
          <w:rFonts w:asciiTheme="majorHAnsi" w:eastAsia="Times New Roman" w:hAnsiTheme="majorHAnsi" w:cs="Times New Roman"/>
          <w:sz w:val="24"/>
          <w:szCs w:val="24"/>
        </w:rPr>
      </w:pPr>
      <w:r w:rsidRPr="000D2842">
        <w:rPr>
          <w:rFonts w:asciiTheme="majorHAnsi" w:eastAsia="Times New Roman" w:hAnsiTheme="majorHAnsi" w:cs="Times New Roman"/>
          <w:sz w:val="24"/>
          <w:szCs w:val="24"/>
        </w:rPr>
        <w:t xml:space="preserve">Kamianets-Podilskyi Ivan </w:t>
      </w:r>
      <w:proofErr w:type="spellStart"/>
      <w:r w:rsidRPr="000D2842">
        <w:rPr>
          <w:rFonts w:asciiTheme="majorHAnsi" w:eastAsia="Times New Roman" w:hAnsiTheme="majorHAnsi" w:cs="Times New Roman"/>
          <w:sz w:val="24"/>
          <w:szCs w:val="24"/>
        </w:rPr>
        <w:t>Ohiienko</w:t>
      </w:r>
      <w:proofErr w:type="spellEnd"/>
      <w:r w:rsidRPr="000D2842">
        <w:rPr>
          <w:rFonts w:asciiTheme="majorHAnsi" w:eastAsia="Times New Roman" w:hAnsiTheme="majorHAnsi" w:cs="Times New Roman"/>
          <w:sz w:val="24"/>
          <w:szCs w:val="24"/>
        </w:rPr>
        <w:t xml:space="preserve"> National University, Ukraine – 13</w:t>
      </w:r>
    </w:p>
    <w:p w14:paraId="00000016" w14:textId="77777777" w:rsidR="004B10D5" w:rsidRPr="000D2842" w:rsidRDefault="00000000" w:rsidP="000D2842">
      <w:pPr>
        <w:numPr>
          <w:ilvl w:val="0"/>
          <w:numId w:val="12"/>
        </w:numPr>
        <w:tabs>
          <w:tab w:val="left" w:pos="284"/>
        </w:tabs>
        <w:spacing w:after="0" w:line="240" w:lineRule="auto"/>
        <w:rPr>
          <w:rFonts w:asciiTheme="majorHAnsi" w:eastAsia="Times New Roman" w:hAnsiTheme="majorHAnsi" w:cs="Times New Roman"/>
          <w:sz w:val="24"/>
          <w:szCs w:val="24"/>
        </w:rPr>
      </w:pPr>
      <w:r w:rsidRPr="000D2842">
        <w:rPr>
          <w:rFonts w:asciiTheme="majorHAnsi" w:eastAsia="Times New Roman" w:hAnsiTheme="majorHAnsi" w:cs="Times New Roman"/>
          <w:sz w:val="24"/>
          <w:szCs w:val="24"/>
        </w:rPr>
        <w:t>Kharkiv Humanitarian-Pedagogical Academy, Ukraine – 12</w:t>
      </w:r>
    </w:p>
    <w:p w14:paraId="00000017" w14:textId="77777777" w:rsidR="004B10D5" w:rsidRPr="000D2842" w:rsidRDefault="00000000" w:rsidP="000D2842">
      <w:pPr>
        <w:numPr>
          <w:ilvl w:val="0"/>
          <w:numId w:val="12"/>
        </w:numPr>
        <w:tabs>
          <w:tab w:val="left" w:pos="284"/>
        </w:tabs>
        <w:spacing w:after="0" w:line="240" w:lineRule="auto"/>
        <w:rPr>
          <w:rFonts w:asciiTheme="majorHAnsi" w:eastAsia="Times New Roman" w:hAnsiTheme="majorHAnsi" w:cs="Times New Roman"/>
          <w:sz w:val="24"/>
          <w:szCs w:val="24"/>
        </w:rPr>
      </w:pPr>
      <w:r w:rsidRPr="000D2842">
        <w:rPr>
          <w:rFonts w:asciiTheme="majorHAnsi" w:eastAsia="Times New Roman" w:hAnsiTheme="majorHAnsi" w:cs="Times New Roman"/>
          <w:sz w:val="24"/>
          <w:szCs w:val="24"/>
        </w:rPr>
        <w:t>Kyiv National University of Construction and Architecture (KNUCA) , Ukraine – 10</w:t>
      </w:r>
    </w:p>
    <w:p w14:paraId="00000018" w14:textId="77777777" w:rsidR="004B10D5" w:rsidRPr="000D2842" w:rsidRDefault="00000000" w:rsidP="000D2842">
      <w:pPr>
        <w:numPr>
          <w:ilvl w:val="0"/>
          <w:numId w:val="12"/>
        </w:numPr>
        <w:tabs>
          <w:tab w:val="left" w:pos="284"/>
        </w:tabs>
        <w:spacing w:after="0" w:line="240" w:lineRule="auto"/>
        <w:rPr>
          <w:rFonts w:asciiTheme="majorHAnsi" w:eastAsia="Times New Roman" w:hAnsiTheme="majorHAnsi" w:cs="Times New Roman"/>
          <w:sz w:val="24"/>
          <w:szCs w:val="24"/>
        </w:rPr>
      </w:pPr>
      <w:r w:rsidRPr="000D2842">
        <w:rPr>
          <w:rFonts w:asciiTheme="majorHAnsi" w:eastAsia="Times New Roman" w:hAnsiTheme="majorHAnsi" w:cs="Times New Roman"/>
          <w:sz w:val="24"/>
          <w:szCs w:val="24"/>
        </w:rPr>
        <w:t>Luhansk Taras Shevchenko National University, Ukraine – 9</w:t>
      </w:r>
    </w:p>
    <w:p w14:paraId="00000019" w14:textId="77777777" w:rsidR="004B10D5" w:rsidRPr="000D2842" w:rsidRDefault="00000000" w:rsidP="000D2842">
      <w:pPr>
        <w:numPr>
          <w:ilvl w:val="0"/>
          <w:numId w:val="12"/>
        </w:numPr>
        <w:tabs>
          <w:tab w:val="left" w:pos="284"/>
        </w:tabs>
        <w:spacing w:after="0" w:line="240" w:lineRule="auto"/>
        <w:rPr>
          <w:rFonts w:asciiTheme="majorHAnsi" w:eastAsia="Times New Roman" w:hAnsiTheme="majorHAnsi" w:cs="Times New Roman"/>
          <w:sz w:val="24"/>
          <w:szCs w:val="24"/>
        </w:rPr>
      </w:pPr>
      <w:r w:rsidRPr="000D2842">
        <w:rPr>
          <w:rFonts w:asciiTheme="majorHAnsi" w:eastAsia="Times New Roman" w:hAnsiTheme="majorHAnsi" w:cs="Times New Roman"/>
          <w:sz w:val="24"/>
          <w:szCs w:val="24"/>
        </w:rPr>
        <w:t>University of Customs and Finance, Ukraine – 9</w:t>
      </w:r>
    </w:p>
    <w:p w14:paraId="0000001A" w14:textId="77777777" w:rsidR="004B10D5" w:rsidRPr="000D2842" w:rsidRDefault="00000000" w:rsidP="000D2842">
      <w:pPr>
        <w:numPr>
          <w:ilvl w:val="0"/>
          <w:numId w:val="12"/>
        </w:numPr>
        <w:tabs>
          <w:tab w:val="left" w:pos="284"/>
        </w:tabs>
        <w:spacing w:after="0" w:line="240" w:lineRule="auto"/>
        <w:rPr>
          <w:rFonts w:asciiTheme="majorHAnsi" w:eastAsia="Times New Roman" w:hAnsiTheme="majorHAnsi" w:cs="Times New Roman"/>
          <w:sz w:val="24"/>
          <w:szCs w:val="24"/>
        </w:rPr>
      </w:pPr>
      <w:r w:rsidRPr="000D2842">
        <w:rPr>
          <w:rFonts w:asciiTheme="majorHAnsi" w:eastAsia="Times New Roman" w:hAnsiTheme="majorHAnsi" w:cs="Times New Roman"/>
          <w:sz w:val="24"/>
          <w:szCs w:val="24"/>
        </w:rPr>
        <w:t>Sumy State University, Ukraine – 8</w:t>
      </w:r>
    </w:p>
    <w:p w14:paraId="0000001B" w14:textId="77777777" w:rsidR="004B10D5" w:rsidRPr="000D2842" w:rsidRDefault="00000000" w:rsidP="000D2842">
      <w:pPr>
        <w:numPr>
          <w:ilvl w:val="0"/>
          <w:numId w:val="12"/>
        </w:numPr>
        <w:tabs>
          <w:tab w:val="left" w:pos="284"/>
        </w:tabs>
        <w:spacing w:after="0" w:line="240" w:lineRule="auto"/>
        <w:rPr>
          <w:rFonts w:asciiTheme="majorHAnsi" w:eastAsia="Times New Roman" w:hAnsiTheme="majorHAnsi" w:cs="Times New Roman"/>
          <w:sz w:val="24"/>
          <w:szCs w:val="24"/>
        </w:rPr>
      </w:pPr>
      <w:r w:rsidRPr="000D2842">
        <w:rPr>
          <w:rFonts w:asciiTheme="majorHAnsi" w:eastAsia="Times New Roman" w:hAnsiTheme="majorHAnsi" w:cs="Times New Roman"/>
          <w:sz w:val="24"/>
          <w:szCs w:val="24"/>
        </w:rPr>
        <w:t>Khmelnytskyi National University, Ukraine – 8</w:t>
      </w:r>
    </w:p>
    <w:p w14:paraId="0000001C" w14:textId="77777777" w:rsidR="004B10D5" w:rsidRPr="000D2842" w:rsidRDefault="00000000" w:rsidP="000D2842">
      <w:pPr>
        <w:numPr>
          <w:ilvl w:val="0"/>
          <w:numId w:val="12"/>
        </w:numPr>
        <w:tabs>
          <w:tab w:val="left" w:pos="284"/>
        </w:tabs>
        <w:spacing w:after="0" w:line="240" w:lineRule="auto"/>
        <w:rPr>
          <w:rFonts w:asciiTheme="majorHAnsi" w:eastAsia="Times New Roman" w:hAnsiTheme="majorHAnsi" w:cs="Times New Roman"/>
          <w:sz w:val="24"/>
          <w:szCs w:val="24"/>
        </w:rPr>
      </w:pPr>
      <w:r w:rsidRPr="000D2842">
        <w:rPr>
          <w:rFonts w:asciiTheme="majorHAnsi" w:eastAsia="Times New Roman" w:hAnsiTheme="majorHAnsi" w:cs="Times New Roman"/>
          <w:sz w:val="24"/>
          <w:szCs w:val="24"/>
        </w:rPr>
        <w:t>Slovak University of Technology (STU), Slovakia – 15</w:t>
      </w:r>
    </w:p>
    <w:p w14:paraId="0000001D" w14:textId="77777777" w:rsidR="004B10D5" w:rsidRPr="000D2842" w:rsidRDefault="00000000" w:rsidP="000D2842">
      <w:pPr>
        <w:numPr>
          <w:ilvl w:val="0"/>
          <w:numId w:val="12"/>
        </w:numPr>
        <w:tabs>
          <w:tab w:val="left" w:pos="284"/>
        </w:tabs>
        <w:spacing w:after="280" w:line="240" w:lineRule="auto"/>
        <w:rPr>
          <w:rFonts w:asciiTheme="majorHAnsi" w:eastAsia="Times New Roman" w:hAnsiTheme="majorHAnsi" w:cs="Times New Roman"/>
          <w:sz w:val="24"/>
          <w:szCs w:val="24"/>
        </w:rPr>
      </w:pPr>
      <w:r w:rsidRPr="000D2842">
        <w:rPr>
          <w:rFonts w:asciiTheme="majorHAnsi" w:eastAsia="Times New Roman" w:hAnsiTheme="majorHAnsi" w:cs="Times New Roman"/>
          <w:sz w:val="24"/>
          <w:szCs w:val="24"/>
        </w:rPr>
        <w:t>Other Ukrainian and European universities – more than 40 institutions</w:t>
      </w:r>
    </w:p>
    <w:p w14:paraId="0000001E" w14:textId="77777777" w:rsidR="004B10D5" w:rsidRPr="000D2842" w:rsidRDefault="00000000" w:rsidP="000D2842">
      <w:pPr>
        <w:tabs>
          <w:tab w:val="left" w:pos="284"/>
        </w:tabs>
        <w:spacing w:before="280" w:after="280" w:line="240" w:lineRule="auto"/>
        <w:rPr>
          <w:rFonts w:asciiTheme="majorHAnsi" w:eastAsia="Times New Roman" w:hAnsiTheme="majorHAnsi" w:cs="Times New Roman"/>
          <w:b/>
          <w:sz w:val="27"/>
          <w:szCs w:val="27"/>
        </w:rPr>
      </w:pPr>
      <w:r w:rsidRPr="000D2842">
        <w:rPr>
          <w:rFonts w:asciiTheme="majorHAnsi" w:eastAsia="Times New Roman" w:hAnsiTheme="majorHAnsi" w:cs="Times New Roman"/>
          <w:b/>
          <w:sz w:val="27"/>
          <w:szCs w:val="27"/>
        </w:rPr>
        <w:t>Positions of participants</w:t>
      </w:r>
    </w:p>
    <w:p w14:paraId="0000001F" w14:textId="77777777" w:rsidR="004B10D5" w:rsidRPr="000D2842" w:rsidRDefault="00000000" w:rsidP="000D2842">
      <w:pPr>
        <w:numPr>
          <w:ilvl w:val="0"/>
          <w:numId w:val="13"/>
        </w:numPr>
        <w:tabs>
          <w:tab w:val="left" w:pos="284"/>
        </w:tabs>
        <w:spacing w:before="280" w:after="0" w:line="240" w:lineRule="auto"/>
        <w:rPr>
          <w:rFonts w:asciiTheme="majorHAnsi" w:eastAsia="Times New Roman" w:hAnsiTheme="majorHAnsi" w:cs="Times New Roman"/>
          <w:sz w:val="24"/>
          <w:szCs w:val="24"/>
        </w:rPr>
      </w:pPr>
      <w:r w:rsidRPr="000D2842">
        <w:rPr>
          <w:rFonts w:asciiTheme="majorHAnsi" w:eastAsia="Times New Roman" w:hAnsiTheme="majorHAnsi" w:cs="Times New Roman"/>
          <w:sz w:val="24"/>
          <w:szCs w:val="24"/>
        </w:rPr>
        <w:t>Students – over 85</w:t>
      </w:r>
    </w:p>
    <w:p w14:paraId="00000020" w14:textId="77777777" w:rsidR="004B10D5" w:rsidRPr="000D2842" w:rsidRDefault="00000000" w:rsidP="000D2842">
      <w:pPr>
        <w:numPr>
          <w:ilvl w:val="0"/>
          <w:numId w:val="13"/>
        </w:numPr>
        <w:tabs>
          <w:tab w:val="left" w:pos="284"/>
        </w:tabs>
        <w:spacing w:after="0" w:line="240" w:lineRule="auto"/>
        <w:rPr>
          <w:rFonts w:asciiTheme="majorHAnsi" w:eastAsia="Times New Roman" w:hAnsiTheme="majorHAnsi" w:cs="Times New Roman"/>
          <w:sz w:val="24"/>
          <w:szCs w:val="24"/>
        </w:rPr>
      </w:pPr>
      <w:r w:rsidRPr="000D2842">
        <w:rPr>
          <w:rFonts w:asciiTheme="majorHAnsi" w:eastAsia="Times New Roman" w:hAnsiTheme="majorHAnsi" w:cs="Times New Roman"/>
          <w:sz w:val="24"/>
          <w:szCs w:val="24"/>
        </w:rPr>
        <w:lastRenderedPageBreak/>
        <w:t>Lecturers, professors, associate professors – more than 25</w:t>
      </w:r>
    </w:p>
    <w:p w14:paraId="00000021" w14:textId="77777777" w:rsidR="004B10D5" w:rsidRPr="000D2842" w:rsidRDefault="00000000" w:rsidP="000D2842">
      <w:pPr>
        <w:numPr>
          <w:ilvl w:val="0"/>
          <w:numId w:val="13"/>
        </w:numPr>
        <w:tabs>
          <w:tab w:val="left" w:pos="284"/>
        </w:tabs>
        <w:spacing w:after="280" w:line="240" w:lineRule="auto"/>
        <w:rPr>
          <w:rFonts w:asciiTheme="majorHAnsi" w:eastAsia="Times New Roman" w:hAnsiTheme="majorHAnsi" w:cs="Times New Roman"/>
          <w:sz w:val="24"/>
          <w:szCs w:val="24"/>
        </w:rPr>
      </w:pPr>
      <w:r w:rsidRPr="000D2842">
        <w:rPr>
          <w:rFonts w:asciiTheme="majorHAnsi" w:eastAsia="Times New Roman" w:hAnsiTheme="majorHAnsi" w:cs="Times New Roman"/>
          <w:sz w:val="24"/>
          <w:szCs w:val="24"/>
        </w:rPr>
        <w:t>Researchers, university staff and administration – over 200</w:t>
      </w:r>
    </w:p>
    <w:p w14:paraId="00000022" w14:textId="77777777" w:rsidR="004B10D5" w:rsidRPr="000D2842" w:rsidRDefault="00000000" w:rsidP="000D2842">
      <w:pPr>
        <w:tabs>
          <w:tab w:val="left" w:pos="284"/>
        </w:tabs>
        <w:spacing w:before="280" w:after="280" w:line="240" w:lineRule="auto"/>
        <w:rPr>
          <w:rFonts w:asciiTheme="majorHAnsi" w:eastAsia="Times New Roman" w:hAnsiTheme="majorHAnsi" w:cs="Times New Roman"/>
          <w:b/>
          <w:sz w:val="36"/>
          <w:szCs w:val="36"/>
        </w:rPr>
      </w:pPr>
      <w:r w:rsidRPr="000D2842">
        <w:rPr>
          <w:rFonts w:asciiTheme="majorHAnsi" w:eastAsia="Times New Roman" w:hAnsiTheme="majorHAnsi" w:cs="Times New Roman"/>
          <w:b/>
          <w:sz w:val="36"/>
          <w:szCs w:val="36"/>
        </w:rPr>
        <w:t>Conclusions</w:t>
      </w:r>
    </w:p>
    <w:p w14:paraId="00000023" w14:textId="77777777" w:rsidR="004B10D5" w:rsidRPr="000D2842" w:rsidRDefault="00000000" w:rsidP="000D2842">
      <w:pPr>
        <w:numPr>
          <w:ilvl w:val="0"/>
          <w:numId w:val="14"/>
        </w:numPr>
        <w:tabs>
          <w:tab w:val="left" w:pos="284"/>
        </w:tabs>
        <w:spacing w:before="280" w:after="0" w:line="240" w:lineRule="auto"/>
        <w:rPr>
          <w:rFonts w:asciiTheme="majorHAnsi" w:eastAsia="Times New Roman" w:hAnsiTheme="majorHAnsi" w:cs="Times New Roman"/>
          <w:sz w:val="24"/>
          <w:szCs w:val="24"/>
        </w:rPr>
      </w:pPr>
      <w:r w:rsidRPr="000D2842">
        <w:rPr>
          <w:rFonts w:asciiTheme="majorHAnsi" w:eastAsia="Times New Roman" w:hAnsiTheme="majorHAnsi" w:cs="Times New Roman"/>
          <w:sz w:val="24"/>
          <w:szCs w:val="24"/>
        </w:rPr>
        <w:t>The lectures attracted nearly 400 participants from Ukraine and Slovakia, confirming the strong interest in the topic of European integration.</w:t>
      </w:r>
    </w:p>
    <w:p w14:paraId="00000024" w14:textId="77777777" w:rsidR="004B10D5" w:rsidRPr="000D2842" w:rsidRDefault="00000000" w:rsidP="000D2842">
      <w:pPr>
        <w:numPr>
          <w:ilvl w:val="0"/>
          <w:numId w:val="14"/>
        </w:numPr>
        <w:tabs>
          <w:tab w:val="left" w:pos="284"/>
        </w:tabs>
        <w:spacing w:after="0" w:line="240" w:lineRule="auto"/>
        <w:rPr>
          <w:rFonts w:asciiTheme="majorHAnsi" w:eastAsia="Times New Roman" w:hAnsiTheme="majorHAnsi" w:cs="Times New Roman"/>
          <w:sz w:val="24"/>
          <w:szCs w:val="24"/>
        </w:rPr>
      </w:pPr>
      <w:r w:rsidRPr="000D2842">
        <w:rPr>
          <w:rFonts w:asciiTheme="majorHAnsi" w:eastAsia="Times New Roman" w:hAnsiTheme="majorHAnsi" w:cs="Times New Roman"/>
          <w:sz w:val="24"/>
          <w:szCs w:val="24"/>
        </w:rPr>
        <w:t>The hybrid format (online + onsite) ensured a broad outreach and participation.</w:t>
      </w:r>
    </w:p>
    <w:p w14:paraId="00000025" w14:textId="77777777" w:rsidR="004B10D5" w:rsidRPr="000D2842" w:rsidRDefault="00000000" w:rsidP="000D2842">
      <w:pPr>
        <w:numPr>
          <w:ilvl w:val="0"/>
          <w:numId w:val="14"/>
        </w:numPr>
        <w:tabs>
          <w:tab w:val="left" w:pos="284"/>
        </w:tabs>
        <w:spacing w:after="0" w:line="240" w:lineRule="auto"/>
        <w:rPr>
          <w:rFonts w:asciiTheme="majorHAnsi" w:eastAsia="Times New Roman" w:hAnsiTheme="majorHAnsi" w:cs="Times New Roman"/>
          <w:sz w:val="24"/>
          <w:szCs w:val="24"/>
        </w:rPr>
      </w:pPr>
      <w:r w:rsidRPr="000D2842">
        <w:rPr>
          <w:rFonts w:asciiTheme="majorHAnsi" w:eastAsia="Times New Roman" w:hAnsiTheme="majorHAnsi" w:cs="Times New Roman"/>
          <w:sz w:val="24"/>
          <w:szCs w:val="24"/>
        </w:rPr>
        <w:t>The majority of participants were students and young researchers, yet lecturers, professors, and academic leaders also actively contributed.</w:t>
      </w:r>
    </w:p>
    <w:p w14:paraId="00000026" w14:textId="77777777" w:rsidR="004B10D5" w:rsidRDefault="00000000" w:rsidP="000D2842">
      <w:pPr>
        <w:numPr>
          <w:ilvl w:val="0"/>
          <w:numId w:val="14"/>
        </w:numPr>
        <w:tabs>
          <w:tab w:val="left" w:pos="284"/>
        </w:tabs>
        <w:spacing w:after="280" w:line="240" w:lineRule="auto"/>
        <w:rPr>
          <w:rFonts w:asciiTheme="majorHAnsi" w:eastAsia="Times New Roman" w:hAnsiTheme="majorHAnsi" w:cs="Times New Roman"/>
          <w:sz w:val="24"/>
          <w:szCs w:val="24"/>
        </w:rPr>
      </w:pPr>
      <w:r w:rsidRPr="000D2842">
        <w:rPr>
          <w:rFonts w:asciiTheme="majorHAnsi" w:eastAsia="Times New Roman" w:hAnsiTheme="majorHAnsi" w:cs="Times New Roman"/>
          <w:sz w:val="24"/>
          <w:szCs w:val="24"/>
        </w:rPr>
        <w:t>The event received strong institutional support from SPECTRA CE EU, the Embassy of Ukraine in Slovakia, the NGO SME–</w:t>
      </w:r>
      <w:proofErr w:type="spellStart"/>
      <w:r w:rsidRPr="000D2842">
        <w:rPr>
          <w:rFonts w:asciiTheme="majorHAnsi" w:eastAsia="Times New Roman" w:hAnsiTheme="majorHAnsi" w:cs="Times New Roman"/>
          <w:sz w:val="24"/>
          <w:szCs w:val="24"/>
        </w:rPr>
        <w:t>Spolu</w:t>
      </w:r>
      <w:proofErr w:type="spellEnd"/>
      <w:r w:rsidRPr="000D2842">
        <w:rPr>
          <w:rFonts w:asciiTheme="majorHAnsi" w:eastAsia="Times New Roman" w:hAnsiTheme="majorHAnsi" w:cs="Times New Roman"/>
          <w:sz w:val="24"/>
          <w:szCs w:val="24"/>
        </w:rPr>
        <w:t xml:space="preserve"> (Ukraine</w:t>
      </w:r>
      <w:r w:rsidRPr="000D2842">
        <w:rPr>
          <w:rFonts w:asciiTheme="majorHAnsi" w:eastAsia="Times New Roman" w:hAnsiTheme="majorHAnsi" w:cs="Cambria"/>
          <w:sz w:val="24"/>
          <w:szCs w:val="24"/>
        </w:rPr>
        <w:t>–</w:t>
      </w:r>
      <w:r w:rsidRPr="000D2842">
        <w:rPr>
          <w:rFonts w:asciiTheme="majorHAnsi" w:eastAsia="Times New Roman" w:hAnsiTheme="majorHAnsi" w:cs="Times New Roman"/>
          <w:sz w:val="24"/>
          <w:szCs w:val="24"/>
        </w:rPr>
        <w:t>Slovakia SOS), and the international academic community through AESOP TG on Transboundary Planning and Governance.</w:t>
      </w:r>
    </w:p>
    <w:p w14:paraId="271E21A5" w14:textId="3F3281DF" w:rsidR="000D2842" w:rsidRDefault="000D2842" w:rsidP="000D2842">
      <w:pPr>
        <w:tabs>
          <w:tab w:val="left" w:pos="284"/>
        </w:tabs>
        <w:spacing w:before="280" w:after="280" w:line="240" w:lineRule="auto"/>
        <w:rPr>
          <w:rFonts w:asciiTheme="majorHAnsi" w:eastAsia="Times New Roman" w:hAnsiTheme="majorHAnsi" w:cs="Times New Roman"/>
          <w:b/>
          <w:sz w:val="36"/>
          <w:szCs w:val="36"/>
        </w:rPr>
      </w:pPr>
      <w:r>
        <w:rPr>
          <w:rFonts w:asciiTheme="majorHAnsi" w:eastAsia="Times New Roman" w:hAnsiTheme="majorHAnsi" w:cs="Times New Roman"/>
          <w:b/>
          <w:sz w:val="36"/>
          <w:szCs w:val="36"/>
        </w:rPr>
        <w:t>Photos</w:t>
      </w:r>
    </w:p>
    <w:p w14:paraId="003AADE6" w14:textId="77777777" w:rsidR="000D2842" w:rsidRPr="000D2842" w:rsidRDefault="000D2842" w:rsidP="000D2842">
      <w:pPr>
        <w:tabs>
          <w:tab w:val="left" w:pos="284"/>
        </w:tabs>
        <w:spacing w:before="280" w:after="280" w:line="240" w:lineRule="auto"/>
        <w:rPr>
          <w:rFonts w:asciiTheme="majorHAnsi" w:eastAsia="Times New Roman" w:hAnsiTheme="majorHAnsi" w:cs="Times New Roman"/>
          <w:b/>
          <w:sz w:val="36"/>
          <w:szCs w:val="36"/>
        </w:rPr>
      </w:pPr>
    </w:p>
    <w:p w14:paraId="40786D07" w14:textId="23EDE756" w:rsidR="000D2842" w:rsidRDefault="000D2842" w:rsidP="000D2842">
      <w:pPr>
        <w:pStyle w:val="NormalWeb"/>
      </w:pPr>
      <w:r>
        <w:rPr>
          <w:noProof/>
        </w:rPr>
        <w:drawing>
          <wp:inline distT="0" distB="0" distL="0" distR="0" wp14:anchorId="360D8A1E" wp14:editId="00A30EE2">
            <wp:extent cx="4762500" cy="3572139"/>
            <wp:effectExtent l="0" t="0" r="0" b="9525"/>
            <wp:docPr id="763117505" name="Picture 2" descr="A person sitting at a desk in front of a large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3117505" name="Picture 2" descr="A person sitting at a desk in front of a large screen&#10;&#10;AI-generated content may be incorrect."/>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770971" cy="3578492"/>
                    </a:xfrm>
                    <a:prstGeom prst="rect">
                      <a:avLst/>
                    </a:prstGeom>
                    <a:noFill/>
                    <a:ln>
                      <a:noFill/>
                    </a:ln>
                  </pic:spPr>
                </pic:pic>
              </a:graphicData>
            </a:graphic>
          </wp:inline>
        </w:drawing>
      </w:r>
    </w:p>
    <w:p w14:paraId="30BEE9DA" w14:textId="77777777" w:rsidR="000D2842" w:rsidRDefault="000D2842" w:rsidP="000D2842">
      <w:pPr>
        <w:tabs>
          <w:tab w:val="left" w:pos="284"/>
        </w:tabs>
        <w:spacing w:after="280" w:line="240" w:lineRule="auto"/>
        <w:rPr>
          <w:rFonts w:asciiTheme="majorHAnsi" w:eastAsia="Times New Roman" w:hAnsiTheme="majorHAnsi" w:cs="Times New Roman"/>
          <w:sz w:val="24"/>
          <w:szCs w:val="24"/>
        </w:rPr>
      </w:pPr>
    </w:p>
    <w:p w14:paraId="3ADB092F" w14:textId="3B3C0F05" w:rsidR="000D2842" w:rsidRDefault="000D2842" w:rsidP="000D2842">
      <w:pPr>
        <w:pStyle w:val="NormalWeb"/>
      </w:pPr>
      <w:r>
        <w:rPr>
          <w:noProof/>
        </w:rPr>
        <w:lastRenderedPageBreak/>
        <w:drawing>
          <wp:inline distT="0" distB="0" distL="0" distR="0" wp14:anchorId="2F8FCDE8" wp14:editId="4CE4CD41">
            <wp:extent cx="5010150" cy="3757889"/>
            <wp:effectExtent l="0" t="0" r="0" b="0"/>
            <wp:docPr id="453737413" name="Picture 3" descr="A group of people sitting at tables in a roo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3737413" name="Picture 3" descr="A group of people sitting at tables in a room&#10;&#10;AI-generated content may be incorrect."/>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034095" cy="3775849"/>
                    </a:xfrm>
                    <a:prstGeom prst="rect">
                      <a:avLst/>
                    </a:prstGeom>
                    <a:noFill/>
                    <a:ln>
                      <a:noFill/>
                    </a:ln>
                  </pic:spPr>
                </pic:pic>
              </a:graphicData>
            </a:graphic>
          </wp:inline>
        </w:drawing>
      </w:r>
    </w:p>
    <w:p w14:paraId="51FA928A" w14:textId="58CD15FB" w:rsidR="000D2842" w:rsidRDefault="000D2842" w:rsidP="000D2842">
      <w:pPr>
        <w:pStyle w:val="NormalWeb"/>
      </w:pPr>
      <w:r>
        <w:rPr>
          <w:noProof/>
        </w:rPr>
        <w:drawing>
          <wp:inline distT="0" distB="0" distL="0" distR="0" wp14:anchorId="185D650E" wp14:editId="05634899">
            <wp:extent cx="5055315" cy="2981325"/>
            <wp:effectExtent l="0" t="0" r="0" b="0"/>
            <wp:docPr id="199071230" name="Picture 4" descr="A screenshot of a video cha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071230" name="Picture 4" descr="A screenshot of a video chat&#10;&#10;AI-generated content may be incorrec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059897" cy="2984027"/>
                    </a:xfrm>
                    <a:prstGeom prst="rect">
                      <a:avLst/>
                    </a:prstGeom>
                    <a:noFill/>
                    <a:ln>
                      <a:noFill/>
                    </a:ln>
                  </pic:spPr>
                </pic:pic>
              </a:graphicData>
            </a:graphic>
          </wp:inline>
        </w:drawing>
      </w:r>
    </w:p>
    <w:p w14:paraId="3153A6DD" w14:textId="77777777" w:rsidR="000D2842" w:rsidRPr="000D2842" w:rsidRDefault="000D2842" w:rsidP="000D2842">
      <w:pPr>
        <w:tabs>
          <w:tab w:val="left" w:pos="284"/>
        </w:tabs>
        <w:spacing w:after="280" w:line="240" w:lineRule="auto"/>
        <w:rPr>
          <w:rFonts w:asciiTheme="majorHAnsi" w:eastAsia="Times New Roman" w:hAnsiTheme="majorHAnsi" w:cs="Times New Roman"/>
          <w:sz w:val="24"/>
          <w:szCs w:val="24"/>
        </w:rPr>
      </w:pPr>
    </w:p>
    <w:p w14:paraId="00000027" w14:textId="77777777" w:rsidR="004B10D5" w:rsidRDefault="004B10D5" w:rsidP="000D2842">
      <w:pPr>
        <w:tabs>
          <w:tab w:val="left" w:pos="284"/>
        </w:tabs>
        <w:rPr>
          <w:rFonts w:asciiTheme="majorHAnsi" w:hAnsiTheme="majorHAnsi"/>
        </w:rPr>
      </w:pPr>
    </w:p>
    <w:p w14:paraId="31034C77" w14:textId="77777777" w:rsidR="000D2842" w:rsidRPr="000D2842" w:rsidRDefault="000D2842" w:rsidP="000D2842">
      <w:pPr>
        <w:tabs>
          <w:tab w:val="left" w:pos="284"/>
        </w:tabs>
        <w:rPr>
          <w:rFonts w:asciiTheme="majorHAnsi" w:hAnsiTheme="majorHAnsi"/>
        </w:rPr>
      </w:pPr>
    </w:p>
    <w:sectPr w:rsidR="000D2842" w:rsidRPr="000D2842">
      <w:pgSz w:w="11906" w:h="16838"/>
      <w:pgMar w:top="1440" w:right="1440" w:bottom="1440" w:left="1440"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charset w:val="00"/>
    <w:family w:val="auto"/>
    <w:pitch w:val="default"/>
    <w:embedRegular r:id="rId1" w:fontKey="{83C75415-7F97-4BBF-8286-9669C21CF42F}"/>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embedRegular r:id="rId2" w:fontKey="{3AF3430B-4FEC-4567-9750-D79DAAA70AAB}"/>
    <w:embedBold r:id="rId3" w:fontKey="{0E9ED056-AB1F-471D-A6E7-4EDA629CDF09}"/>
  </w:font>
  <w:font w:name="Aptos">
    <w:charset w:val="00"/>
    <w:family w:val="swiss"/>
    <w:pitch w:val="variable"/>
    <w:sig w:usb0="20000287" w:usb1="00000003" w:usb2="00000000" w:usb3="00000000" w:csb0="0000019F" w:csb1="00000000"/>
    <w:embedRegular r:id="rId4" w:fontKey="{6E74B632-626D-49DA-8C32-00A5495C04A5}"/>
    <w:embedItalic r:id="rId5" w:fontKey="{5C57FF7F-E26F-4A83-B116-FA0A3F4142F1}"/>
  </w:font>
  <w:font w:name="Play">
    <w:charset w:val="00"/>
    <w:family w:val="auto"/>
    <w:pitch w:val="default"/>
    <w:embedRegular r:id="rId6" w:fontKey="{008F64FD-6997-48BC-8E83-7C356B3EA655}"/>
  </w:font>
  <w:font w:name="Cambria">
    <w:panose1 w:val="02040503050406030204"/>
    <w:charset w:val="00"/>
    <w:family w:val="roman"/>
    <w:pitch w:val="variable"/>
    <w:sig w:usb0="E00006FF" w:usb1="420024FF" w:usb2="02000000" w:usb3="00000000" w:csb0="0000019F" w:csb1="00000000"/>
    <w:embedRegular r:id="rId7" w:fontKey="{5E7B14C1-1E5C-421E-8BC2-6E2446127BE8}"/>
  </w:font>
  <w:font w:name="Segoe UI">
    <w:panose1 w:val="020B0502040204020203"/>
    <w:charset w:val="00"/>
    <w:family w:val="swiss"/>
    <w:pitch w:val="variable"/>
    <w:sig w:usb0="E4002EFF" w:usb1="C000E47F" w:usb2="00000009" w:usb3="00000000" w:csb0="000001FF" w:csb1="00000000"/>
    <w:embedRegular r:id="rId8" w:fontKey="{0E78A660-044B-4501-ADF2-D452E6BDBDF8}"/>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1E5325"/>
    <w:multiLevelType w:val="multilevel"/>
    <w:tmpl w:val="F1469E7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27EE1A7A"/>
    <w:multiLevelType w:val="multilevel"/>
    <w:tmpl w:val="DC122186"/>
    <w:lvl w:ilvl="0">
      <w:start w:val="1"/>
      <w:numFmt w:val="bullet"/>
      <w:lvlText w:val=""/>
      <w:lvlJc w:val="left"/>
      <w:pPr>
        <w:ind w:left="720" w:hanging="360"/>
      </w:pPr>
      <w:rPr>
        <w:rFonts w:ascii="Symbol" w:hAnsi="Symbol"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2D5C5D17"/>
    <w:multiLevelType w:val="multilevel"/>
    <w:tmpl w:val="8300FF3E"/>
    <w:lvl w:ilvl="0">
      <w:start w:val="1"/>
      <w:numFmt w:val="bullet"/>
      <w:lvlText w:val=""/>
      <w:lvlJc w:val="left"/>
      <w:pPr>
        <w:ind w:left="720" w:hanging="360"/>
      </w:pPr>
      <w:rPr>
        <w:rFonts w:ascii="Symbol" w:hAnsi="Symbol"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30D7555F"/>
    <w:multiLevelType w:val="multilevel"/>
    <w:tmpl w:val="6DF6DDD8"/>
    <w:lvl w:ilvl="0">
      <w:start w:val="1"/>
      <w:numFmt w:val="bullet"/>
      <w:lvlText w:val=""/>
      <w:lvlJc w:val="left"/>
      <w:pPr>
        <w:ind w:left="720" w:hanging="360"/>
      </w:pPr>
      <w:rPr>
        <w:rFonts w:ascii="Symbol" w:hAnsi="Symbol"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339A46A7"/>
    <w:multiLevelType w:val="multilevel"/>
    <w:tmpl w:val="5C3E112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36646832"/>
    <w:multiLevelType w:val="multilevel"/>
    <w:tmpl w:val="D3A05054"/>
    <w:lvl w:ilvl="0">
      <w:start w:val="1"/>
      <w:numFmt w:val="bullet"/>
      <w:lvlText w:val=""/>
      <w:lvlJc w:val="left"/>
      <w:pPr>
        <w:ind w:left="720" w:hanging="360"/>
      </w:pPr>
      <w:rPr>
        <w:rFonts w:ascii="Symbol" w:hAnsi="Symbol"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4EA9625D"/>
    <w:multiLevelType w:val="multilevel"/>
    <w:tmpl w:val="95D4728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15:restartNumberingAfterBreak="0">
    <w:nsid w:val="67822938"/>
    <w:multiLevelType w:val="multilevel"/>
    <w:tmpl w:val="395CE4E6"/>
    <w:lvl w:ilvl="0">
      <w:start w:val="1"/>
      <w:numFmt w:val="bullet"/>
      <w:lvlText w:val=""/>
      <w:lvlJc w:val="left"/>
      <w:pPr>
        <w:ind w:left="720" w:hanging="360"/>
      </w:pPr>
      <w:rPr>
        <w:rFonts w:ascii="Symbol" w:hAnsi="Symbol"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68CC29A9"/>
    <w:multiLevelType w:val="multilevel"/>
    <w:tmpl w:val="E840933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15:restartNumberingAfterBreak="0">
    <w:nsid w:val="6B7B2453"/>
    <w:multiLevelType w:val="multilevel"/>
    <w:tmpl w:val="EA7EA5C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15:restartNumberingAfterBreak="0">
    <w:nsid w:val="6C4F5891"/>
    <w:multiLevelType w:val="multilevel"/>
    <w:tmpl w:val="1902E6B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6EEB793F"/>
    <w:multiLevelType w:val="hybridMultilevel"/>
    <w:tmpl w:val="5C18900A"/>
    <w:lvl w:ilvl="0" w:tplc="A16410A4">
      <w:start w:val="1"/>
      <w:numFmt w:val="decimal"/>
      <w:lvlText w:val="%1."/>
      <w:lvlJc w:val="left"/>
      <w:pPr>
        <w:ind w:left="720" w:hanging="360"/>
      </w:pPr>
      <w:rPr>
        <w:rFonts w:asciiTheme="majorHAnsi" w:hAnsiTheme="majorHAnsi"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46F0B2A"/>
    <w:multiLevelType w:val="multilevel"/>
    <w:tmpl w:val="0A7C91D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3" w15:restartNumberingAfterBreak="0">
    <w:nsid w:val="7F83080C"/>
    <w:multiLevelType w:val="multilevel"/>
    <w:tmpl w:val="12DE4F5C"/>
    <w:lvl w:ilvl="0">
      <w:start w:val="1"/>
      <w:numFmt w:val="bullet"/>
      <w:lvlText w:val=""/>
      <w:lvlJc w:val="left"/>
      <w:pPr>
        <w:ind w:left="720" w:hanging="360"/>
      </w:pPr>
      <w:rPr>
        <w:rFonts w:ascii="Symbol" w:hAnsi="Symbol"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16cid:durableId="1039939920">
    <w:abstractNumId w:val="9"/>
  </w:num>
  <w:num w:numId="2" w16cid:durableId="834875598">
    <w:abstractNumId w:val="6"/>
  </w:num>
  <w:num w:numId="3" w16cid:durableId="2087530885">
    <w:abstractNumId w:val="8"/>
  </w:num>
  <w:num w:numId="4" w16cid:durableId="824853498">
    <w:abstractNumId w:val="10"/>
  </w:num>
  <w:num w:numId="5" w16cid:durableId="993991820">
    <w:abstractNumId w:val="12"/>
  </w:num>
  <w:num w:numId="6" w16cid:durableId="1563557961">
    <w:abstractNumId w:val="0"/>
  </w:num>
  <w:num w:numId="7" w16cid:durableId="114063464">
    <w:abstractNumId w:val="4"/>
  </w:num>
  <w:num w:numId="8" w16cid:durableId="304896294">
    <w:abstractNumId w:val="11"/>
  </w:num>
  <w:num w:numId="9" w16cid:durableId="71588687">
    <w:abstractNumId w:val="2"/>
  </w:num>
  <w:num w:numId="10" w16cid:durableId="103615310">
    <w:abstractNumId w:val="5"/>
  </w:num>
  <w:num w:numId="11" w16cid:durableId="158891490">
    <w:abstractNumId w:val="7"/>
  </w:num>
  <w:num w:numId="12" w16cid:durableId="1632663086">
    <w:abstractNumId w:val="13"/>
  </w:num>
  <w:num w:numId="13" w16cid:durableId="1690058543">
    <w:abstractNumId w:val="3"/>
  </w:num>
  <w:num w:numId="14" w16cid:durableId="17340404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xMDM0NDIzMDa0tDAyNzBV0lEKTi0uzszPAykwrAUAerKQtywAAAA="/>
  </w:docVars>
  <w:rsids>
    <w:rsidRoot w:val="004B10D5"/>
    <w:rsid w:val="000D2842"/>
    <w:rsid w:val="004B10D5"/>
    <w:rsid w:val="005E5374"/>
    <w:rsid w:val="009C68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4831CB"/>
  <w15:docId w15:val="{6F755A0C-2B24-4628-BAC3-C1E43BA815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Play" w:eastAsia="Play" w:hAnsi="Play" w:cs="Play"/>
      <w:color w:val="0F4761"/>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Play" w:eastAsia="Play" w:hAnsi="Play" w:cs="Play"/>
      <w:color w:val="0F4761"/>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color w:val="0F4761"/>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i/>
      <w:color w:val="0F4761"/>
    </w:rPr>
  </w:style>
  <w:style w:type="paragraph" w:styleId="Heading5">
    <w:name w:val="heading 5"/>
    <w:basedOn w:val="Normal"/>
    <w:next w:val="Normal"/>
    <w:link w:val="Heading5Char"/>
    <w:uiPriority w:val="9"/>
    <w:semiHidden/>
    <w:unhideWhenUsed/>
    <w:qFormat/>
    <w:pPr>
      <w:keepNext/>
      <w:keepLines/>
      <w:spacing w:before="80" w:after="40"/>
      <w:outlineLvl w:val="4"/>
    </w:pPr>
    <w:rPr>
      <w:color w:val="0F4761"/>
    </w:rPr>
  </w:style>
  <w:style w:type="paragraph" w:styleId="Heading6">
    <w:name w:val="heading 6"/>
    <w:basedOn w:val="Normal"/>
    <w:next w:val="Normal"/>
    <w:link w:val="Heading6Char"/>
    <w:uiPriority w:val="9"/>
    <w:semiHidden/>
    <w:unhideWhenUsed/>
    <w:qFormat/>
    <w:pPr>
      <w:keepNext/>
      <w:keepLines/>
      <w:spacing w:before="40" w:after="0"/>
      <w:outlineLvl w:val="5"/>
    </w:pPr>
    <w:rPr>
      <w:i/>
      <w:color w:val="595959"/>
    </w:rPr>
  </w:style>
  <w:style w:type="paragraph" w:styleId="Heading7">
    <w:name w:val="heading 7"/>
    <w:basedOn w:val="Normal"/>
    <w:next w:val="Normal"/>
    <w:link w:val="Heading7Char"/>
    <w:uiPriority w:val="9"/>
    <w:semiHidden/>
    <w:unhideWhenUsed/>
    <w:qFormat/>
    <w:rsid w:val="00D706D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706D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706D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link w:val="TitleChar"/>
    <w:uiPriority w:val="10"/>
    <w:qFormat/>
    <w:pPr>
      <w:spacing w:after="80" w:line="240" w:lineRule="auto"/>
    </w:pPr>
    <w:rPr>
      <w:rFonts w:ascii="Play" w:eastAsia="Play" w:hAnsi="Play" w:cs="Play"/>
      <w:sz w:val="56"/>
      <w:szCs w:val="56"/>
    </w:rPr>
  </w:style>
  <w:style w:type="character" w:customStyle="1" w:styleId="Heading1Char">
    <w:name w:val="Heading 1 Char"/>
    <w:basedOn w:val="DefaultParagraphFont"/>
    <w:link w:val="Heading1"/>
    <w:uiPriority w:val="9"/>
    <w:rsid w:val="00D706D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D706D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D706D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706D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706D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706D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706D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706D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706D9"/>
    <w:rPr>
      <w:rFonts w:eastAsiaTheme="majorEastAsia" w:cstheme="majorBidi"/>
      <w:color w:val="272727" w:themeColor="text1" w:themeTint="D8"/>
    </w:rPr>
  </w:style>
  <w:style w:type="character" w:customStyle="1" w:styleId="TitleChar">
    <w:name w:val="Title Char"/>
    <w:basedOn w:val="DefaultParagraphFont"/>
    <w:link w:val="Title"/>
    <w:uiPriority w:val="10"/>
    <w:rsid w:val="00D706D9"/>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sid w:val="00D706D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706D9"/>
    <w:pPr>
      <w:spacing w:before="160"/>
      <w:jc w:val="center"/>
    </w:pPr>
    <w:rPr>
      <w:i/>
      <w:iCs/>
      <w:color w:val="404040" w:themeColor="text1" w:themeTint="BF"/>
    </w:rPr>
  </w:style>
  <w:style w:type="character" w:customStyle="1" w:styleId="QuoteChar">
    <w:name w:val="Quote Char"/>
    <w:basedOn w:val="DefaultParagraphFont"/>
    <w:link w:val="Quote"/>
    <w:uiPriority w:val="29"/>
    <w:rsid w:val="00D706D9"/>
    <w:rPr>
      <w:i/>
      <w:iCs/>
      <w:color w:val="404040" w:themeColor="text1" w:themeTint="BF"/>
    </w:rPr>
  </w:style>
  <w:style w:type="paragraph" w:styleId="ListParagraph">
    <w:name w:val="List Paragraph"/>
    <w:basedOn w:val="Normal"/>
    <w:uiPriority w:val="34"/>
    <w:qFormat/>
    <w:rsid w:val="00D706D9"/>
    <w:pPr>
      <w:ind w:left="720"/>
      <w:contextualSpacing/>
    </w:pPr>
  </w:style>
  <w:style w:type="character" w:styleId="IntenseEmphasis">
    <w:name w:val="Intense Emphasis"/>
    <w:basedOn w:val="DefaultParagraphFont"/>
    <w:uiPriority w:val="21"/>
    <w:qFormat/>
    <w:rsid w:val="00D706D9"/>
    <w:rPr>
      <w:i/>
      <w:iCs/>
      <w:color w:val="0F4761" w:themeColor="accent1" w:themeShade="BF"/>
    </w:rPr>
  </w:style>
  <w:style w:type="paragraph" w:styleId="IntenseQuote">
    <w:name w:val="Intense Quote"/>
    <w:basedOn w:val="Normal"/>
    <w:next w:val="Normal"/>
    <w:link w:val="IntenseQuoteChar"/>
    <w:uiPriority w:val="30"/>
    <w:qFormat/>
    <w:rsid w:val="00D706D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706D9"/>
    <w:rPr>
      <w:i/>
      <w:iCs/>
      <w:color w:val="0F4761" w:themeColor="accent1" w:themeShade="BF"/>
    </w:rPr>
  </w:style>
  <w:style w:type="character" w:styleId="IntenseReference">
    <w:name w:val="Intense Reference"/>
    <w:basedOn w:val="DefaultParagraphFont"/>
    <w:uiPriority w:val="32"/>
    <w:qFormat/>
    <w:rsid w:val="00D706D9"/>
    <w:rPr>
      <w:b/>
      <w:bCs/>
      <w:smallCaps/>
      <w:color w:val="0F4761" w:themeColor="accent1" w:themeShade="BF"/>
      <w:spacing w:val="5"/>
    </w:rPr>
  </w:style>
  <w:style w:type="paragraph" w:styleId="NormalWeb">
    <w:name w:val="Normal (Web)"/>
    <w:basedOn w:val="Normal"/>
    <w:uiPriority w:val="99"/>
    <w:unhideWhenUsed/>
    <w:rsid w:val="00D706D9"/>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D706D9"/>
    <w:rPr>
      <w:b/>
      <w:bCs/>
    </w:rPr>
  </w:style>
  <w:style w:type="paragraph" w:styleId="Subtitle">
    <w:name w:val="Subtitle"/>
    <w:basedOn w:val="Normal"/>
    <w:next w:val="Normal"/>
    <w:link w:val="SubtitleChar"/>
    <w:uiPriority w:val="11"/>
    <w:qFormat/>
    <w:rPr>
      <w:color w:val="595959"/>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tyles" Target="styles.xml"/><Relationship Id="rId7" Type="http://schemas.openxmlformats.org/officeDocument/2006/relationships/image" Target="media/image2.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p2oxhVNtzfszHch3OoT1LeVIqQw==">CgMxLjA4AHIhMWt6N2xwTm03d1gwbDFFaUZOVU9TWHpVWV9HbExOWnhN</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4</Pages>
  <Words>835</Words>
  <Characters>4764</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Єгорченков Олексій Володимирович</dc:creator>
  <cp:lastModifiedBy>Єгорченков Олексій Володимирович</cp:lastModifiedBy>
  <cp:revision>2</cp:revision>
  <dcterms:created xsi:type="dcterms:W3CDTF">2025-10-03T19:23:00Z</dcterms:created>
  <dcterms:modified xsi:type="dcterms:W3CDTF">2025-10-28T08:28:00Z</dcterms:modified>
</cp:coreProperties>
</file>